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C918BE" w:rsidP="00BF2165">
      <w:pPr>
        <w:jc w:val="center"/>
        <w:rPr>
          <w:rFonts w:ascii="Arial" w:hAnsi="Arial" w:cs="Arial"/>
          <w:b/>
          <w:sz w:val="20"/>
          <w:szCs w:val="20"/>
        </w:rPr>
      </w:pPr>
      <w:r>
        <w:rPr>
          <w:rFonts w:ascii="Arial" w:hAnsi="Arial" w:cs="Arial"/>
          <w:b/>
          <w:sz w:val="20"/>
          <w:szCs w:val="20"/>
        </w:rPr>
        <w:t>Certificate Examination in Rural Banking Operations</w:t>
      </w:r>
      <w:bookmarkStart w:id="0" w:name="_GoBack"/>
      <w:bookmarkEnd w:id="0"/>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ED4725">
            <w:pPr>
              <w:spacing w:line="240" w:lineRule="auto"/>
              <w:jc w:val="both"/>
              <w:rPr>
                <w:rFonts w:ascii="Calibri" w:hAnsi="Calibri" w:cs="Calibri"/>
                <w:color w:val="000000"/>
                <w:sz w:val="20"/>
                <w:szCs w:val="20"/>
              </w:rPr>
            </w:pPr>
            <w:r>
              <w:rPr>
                <w:rFonts w:ascii="Calibri" w:hAnsi="Calibri" w:cs="Calibri"/>
                <w:color w:val="000000"/>
                <w:sz w:val="20"/>
                <w:szCs w:val="20"/>
              </w:rPr>
              <w:t>Eligibility Criteria for offering Internet Banking Facility by Regional Rural Banks, 2022</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6C5648">
            <w:pPr>
              <w:spacing w:line="240" w:lineRule="auto"/>
              <w:jc w:val="both"/>
              <w:rPr>
                <w:rFonts w:ascii="Calibri" w:hAnsi="Calibri" w:cs="Calibri"/>
                <w:color w:val="000000"/>
                <w:sz w:val="20"/>
                <w:szCs w:val="20"/>
              </w:rPr>
            </w:pPr>
            <w:r>
              <w:rPr>
                <w:rFonts w:ascii="Calibri" w:hAnsi="Calibri" w:cs="Calibri"/>
                <w:color w:val="000000"/>
                <w:sz w:val="20"/>
                <w:szCs w:val="20"/>
              </w:rPr>
              <w:t xml:space="preserve">Modified Interest Subvention Scheme for Short Term Loans for Agriculture and Allied Activities availed through </w:t>
            </w:r>
            <w:proofErr w:type="spellStart"/>
            <w:r>
              <w:rPr>
                <w:rFonts w:ascii="Calibri" w:hAnsi="Calibri" w:cs="Calibri"/>
                <w:color w:val="000000"/>
                <w:sz w:val="20"/>
                <w:szCs w:val="20"/>
              </w:rPr>
              <w:t>Kisan</w:t>
            </w:r>
            <w:proofErr w:type="spellEnd"/>
            <w:r>
              <w:rPr>
                <w:rFonts w:ascii="Calibri" w:hAnsi="Calibri" w:cs="Calibri"/>
                <w:color w:val="000000"/>
                <w:sz w:val="20"/>
                <w:szCs w:val="20"/>
              </w:rPr>
              <w:t xml:space="preserve"> Credit Card (KCC) during the financial years 2022-23 and 2023-24</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r>
        <w:rPr>
          <w:rFonts w:ascii="Arial" w:hAnsi="Arial" w:cs="Arial"/>
          <w:b/>
          <w:bCs/>
          <w:color w:val="000000"/>
          <w:sz w:val="20"/>
          <w:szCs w:val="20"/>
        </w:rPr>
        <w:t>Eligibility Criteria for offering Internet Banking Facility by Regional Rural Banks, 2022</w:t>
      </w:r>
    </w:p>
    <w:p w:rsidR="00ED4725" w:rsidRDefault="00ED4725" w:rsidP="00ED4725">
      <w:pPr>
        <w:pStyle w:val="NormalWeb"/>
        <w:jc w:val="both"/>
        <w:rPr>
          <w:rFonts w:ascii="Arial" w:hAnsi="Arial" w:cs="Arial"/>
          <w:color w:val="000000"/>
          <w:sz w:val="20"/>
          <w:szCs w:val="20"/>
        </w:rPr>
      </w:pPr>
      <w:r>
        <w:rPr>
          <w:rFonts w:ascii="Arial" w:hAnsi="Arial" w:cs="Arial"/>
          <w:color w:val="000000"/>
          <w:sz w:val="20"/>
          <w:szCs w:val="20"/>
        </w:rPr>
        <w:t>RBI/2022-23/135</w:t>
      </w:r>
      <w:r>
        <w:rPr>
          <w:rFonts w:ascii="Arial" w:hAnsi="Arial" w:cs="Arial"/>
          <w:color w:val="000000"/>
          <w:sz w:val="20"/>
          <w:szCs w:val="20"/>
        </w:rPr>
        <w:br/>
        <w:t>DoR.AUT.REC.81/24.01.001/2022-23</w:t>
      </w:r>
    </w:p>
    <w:p w:rsidR="00ED4725" w:rsidRDefault="00ED4725" w:rsidP="00ED4725">
      <w:pPr>
        <w:pStyle w:val="NormalWeb"/>
        <w:jc w:val="right"/>
        <w:rPr>
          <w:rFonts w:ascii="Arial" w:hAnsi="Arial" w:cs="Arial"/>
          <w:color w:val="000000"/>
          <w:sz w:val="20"/>
          <w:szCs w:val="20"/>
        </w:rPr>
      </w:pPr>
      <w:r>
        <w:rPr>
          <w:rFonts w:ascii="Arial" w:hAnsi="Arial" w:cs="Arial"/>
          <w:color w:val="000000"/>
          <w:sz w:val="20"/>
          <w:szCs w:val="20"/>
        </w:rPr>
        <w:t>November 01, 2022</w:t>
      </w:r>
    </w:p>
    <w:p w:rsidR="00ED4725" w:rsidRDefault="00ED4725" w:rsidP="00ED4725">
      <w:pPr>
        <w:pStyle w:val="NormalWeb"/>
        <w:jc w:val="both"/>
        <w:rPr>
          <w:rFonts w:ascii="Arial" w:hAnsi="Arial" w:cs="Arial"/>
          <w:color w:val="000000"/>
          <w:sz w:val="20"/>
          <w:szCs w:val="20"/>
        </w:rPr>
      </w:pPr>
      <w:r>
        <w:rPr>
          <w:rFonts w:ascii="Arial" w:hAnsi="Arial" w:cs="Arial"/>
          <w:color w:val="000000"/>
          <w:sz w:val="20"/>
          <w:szCs w:val="20"/>
        </w:rPr>
        <w:t>Madam / Sir,</w:t>
      </w:r>
    </w:p>
    <w:p w:rsidR="00ED4725" w:rsidRDefault="00ED4725" w:rsidP="00ED4725">
      <w:pPr>
        <w:pStyle w:val="head"/>
        <w:jc w:val="center"/>
        <w:rPr>
          <w:rFonts w:ascii="Arial" w:hAnsi="Arial" w:cs="Arial"/>
          <w:b/>
          <w:bCs/>
          <w:color w:val="000000"/>
          <w:sz w:val="20"/>
          <w:szCs w:val="20"/>
        </w:rPr>
      </w:pPr>
      <w:r>
        <w:rPr>
          <w:rFonts w:ascii="Arial" w:hAnsi="Arial" w:cs="Arial"/>
          <w:b/>
          <w:bCs/>
          <w:color w:val="000000"/>
          <w:sz w:val="20"/>
          <w:szCs w:val="20"/>
        </w:rPr>
        <w:t>Eligibility Criteria for offering Internet Banking Facility by Regional Rural Banks, 2022</w:t>
      </w:r>
    </w:p>
    <w:p w:rsidR="00ED4725" w:rsidRDefault="00ED4725" w:rsidP="00ED4725">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Sections 35A of the Banking Regulation Act, 1949, the Reserve Bank of India being satisfied that it is necessary and expedient in the public interest so to do, hereby, amends the instructions issued vide </w:t>
      </w:r>
      <w:hyperlink r:id="rId6" w:tgtFrame="_blank" w:history="1">
        <w:r>
          <w:rPr>
            <w:rStyle w:val="Hyperlink"/>
            <w:rFonts w:ascii="Arial" w:hAnsi="Arial" w:cs="Arial"/>
            <w:sz w:val="20"/>
            <w:szCs w:val="20"/>
          </w:rPr>
          <w:t>circular DBR.RRB.BC.No.59/31.01.001/2015-16 dated November 19, 2015</w:t>
        </w:r>
      </w:hyperlink>
      <w:r>
        <w:rPr>
          <w:rFonts w:ascii="Arial" w:hAnsi="Arial" w:cs="Arial"/>
          <w:color w:val="000000"/>
          <w:sz w:val="20"/>
          <w:szCs w:val="20"/>
        </w:rPr>
        <w:t> on ‘Internet Banking Facility for Customers of Regional Rural Banks’.</w:t>
      </w:r>
    </w:p>
    <w:p w:rsidR="00ED4725" w:rsidRDefault="00ED4725" w:rsidP="00ED4725">
      <w:pPr>
        <w:pStyle w:val="NormalWeb"/>
        <w:jc w:val="both"/>
        <w:rPr>
          <w:rFonts w:ascii="Arial" w:hAnsi="Arial" w:cs="Arial"/>
          <w:color w:val="000000"/>
          <w:sz w:val="20"/>
          <w:szCs w:val="20"/>
        </w:rPr>
      </w:pPr>
      <w:r>
        <w:rPr>
          <w:rFonts w:ascii="Arial" w:hAnsi="Arial" w:cs="Arial"/>
          <w:color w:val="000000"/>
          <w:sz w:val="20"/>
          <w:szCs w:val="20"/>
        </w:rPr>
        <w:t>Keeping in view the need to promote the spread of digital banking for customers in rural areas, the eligibility criteria applicable to Regional Rural Banks for offering Internet Banking with transactional facility to their customers have been revised, the details of which are enclosed in the </w:t>
      </w:r>
      <w:hyperlink r:id="rId7" w:anchor="AN" w:history="1">
        <w:r>
          <w:rPr>
            <w:rStyle w:val="Hyperlink"/>
            <w:rFonts w:ascii="Arial" w:hAnsi="Arial" w:cs="Arial"/>
            <w:sz w:val="20"/>
            <w:szCs w:val="20"/>
          </w:rPr>
          <w:t>Annex</w:t>
        </w:r>
      </w:hyperlink>
      <w:r>
        <w:rPr>
          <w:rFonts w:ascii="Arial" w:hAnsi="Arial" w:cs="Arial"/>
          <w:color w:val="000000"/>
          <w:sz w:val="20"/>
          <w:szCs w:val="20"/>
        </w:rPr>
        <w:t>.</w:t>
      </w:r>
    </w:p>
    <w:p w:rsidR="00ED4725" w:rsidRDefault="00ED4725" w:rsidP="00ED4725">
      <w:pPr>
        <w:pStyle w:val="head"/>
        <w:jc w:val="both"/>
        <w:rPr>
          <w:rFonts w:ascii="Arial" w:hAnsi="Arial" w:cs="Arial"/>
          <w:b/>
          <w:bCs/>
          <w:color w:val="000000"/>
          <w:sz w:val="20"/>
          <w:szCs w:val="20"/>
        </w:rPr>
      </w:pPr>
      <w:r>
        <w:rPr>
          <w:rFonts w:ascii="Arial" w:hAnsi="Arial" w:cs="Arial"/>
          <w:b/>
          <w:bCs/>
          <w:color w:val="000000"/>
          <w:sz w:val="20"/>
          <w:szCs w:val="20"/>
        </w:rPr>
        <w:t>2. Commencement</w:t>
      </w:r>
    </w:p>
    <w:p w:rsidR="00ED4725" w:rsidRDefault="00ED4725" w:rsidP="00ED4725">
      <w:pPr>
        <w:pStyle w:val="NormalWeb"/>
        <w:jc w:val="both"/>
        <w:rPr>
          <w:rFonts w:ascii="Arial" w:hAnsi="Arial" w:cs="Arial"/>
          <w:color w:val="000000"/>
          <w:sz w:val="20"/>
          <w:szCs w:val="20"/>
        </w:rPr>
      </w:pPr>
      <w:r>
        <w:rPr>
          <w:rFonts w:ascii="Arial" w:hAnsi="Arial" w:cs="Arial"/>
          <w:color w:val="000000"/>
          <w:sz w:val="20"/>
          <w:szCs w:val="20"/>
        </w:rPr>
        <w:t>The circular comes into force from November 01, 2022.</w:t>
      </w:r>
    </w:p>
    <w:p w:rsidR="00ED4725" w:rsidRDefault="00ED4725" w:rsidP="00ED4725">
      <w:pPr>
        <w:pStyle w:val="head"/>
        <w:jc w:val="both"/>
        <w:rPr>
          <w:rFonts w:ascii="Arial" w:hAnsi="Arial" w:cs="Arial"/>
          <w:b/>
          <w:bCs/>
          <w:color w:val="000000"/>
          <w:sz w:val="20"/>
          <w:szCs w:val="20"/>
        </w:rPr>
      </w:pPr>
      <w:r>
        <w:rPr>
          <w:rFonts w:ascii="Arial" w:hAnsi="Arial" w:cs="Arial"/>
          <w:b/>
          <w:bCs/>
          <w:color w:val="000000"/>
          <w:sz w:val="20"/>
          <w:szCs w:val="20"/>
        </w:rPr>
        <w:t>3. Applicability</w:t>
      </w:r>
    </w:p>
    <w:p w:rsidR="00ED4725" w:rsidRDefault="00ED4725" w:rsidP="00ED4725">
      <w:pPr>
        <w:pStyle w:val="NormalWeb"/>
        <w:jc w:val="both"/>
        <w:rPr>
          <w:rFonts w:ascii="Arial" w:hAnsi="Arial" w:cs="Arial"/>
          <w:color w:val="000000"/>
          <w:sz w:val="20"/>
          <w:szCs w:val="20"/>
        </w:rPr>
      </w:pPr>
      <w:r>
        <w:rPr>
          <w:rFonts w:ascii="Arial" w:hAnsi="Arial" w:cs="Arial"/>
          <w:color w:val="000000"/>
          <w:sz w:val="20"/>
          <w:szCs w:val="20"/>
        </w:rPr>
        <w:t>This circular is applicable to all Regional Rural Banks (RRBs).</w:t>
      </w:r>
    </w:p>
    <w:p w:rsidR="00ED4725" w:rsidRDefault="00ED4725" w:rsidP="00ED4725">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ED4725">
      <w:r>
        <w:t>More details can be referred to in the below link.</w:t>
      </w:r>
    </w:p>
    <w:p w:rsidR="00ED4725" w:rsidRDefault="00ED4725" w:rsidP="0085415B">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
          <w:bCs/>
          <w:color w:val="000000"/>
          <w:sz w:val="20"/>
          <w:szCs w:val="20"/>
        </w:rPr>
        <w:t xml:space="preserve"> </w:t>
      </w:r>
      <w:hyperlink r:id="rId8" w:history="1">
        <w:r w:rsidRPr="00996689">
          <w:rPr>
            <w:rStyle w:val="Hyperlink"/>
            <w:rFonts w:ascii="Arial" w:hAnsi="Arial" w:cs="Arial"/>
            <w:bCs/>
            <w:sz w:val="20"/>
            <w:szCs w:val="20"/>
          </w:rPr>
          <w:t>https://www.rbi.org.in/scripts/FS_Notification.aspx?Id=12407&amp;fn=2&amp;Mode=0</w:t>
        </w:r>
      </w:hyperlink>
    </w:p>
    <w:p w:rsidR="00ED4725" w:rsidRPr="00ED4725" w:rsidRDefault="00ED4725" w:rsidP="0085415B">
      <w:pPr>
        <w:pStyle w:val="NormalWeb"/>
        <w:rPr>
          <w:rFonts w:ascii="Arial" w:hAnsi="Arial" w:cs="Arial"/>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85415B" w:rsidRDefault="0085415B" w:rsidP="0085415B">
      <w:pPr>
        <w:pStyle w:val="NormalWeb"/>
        <w:rPr>
          <w:rFonts w:ascii="Arial" w:hAnsi="Arial" w:cs="Arial"/>
          <w:b/>
          <w:bCs/>
          <w:color w:val="000000"/>
          <w:sz w:val="20"/>
          <w:szCs w:val="20"/>
        </w:rPr>
      </w:pPr>
      <w:r>
        <w:rPr>
          <w:rFonts w:ascii="Arial" w:hAnsi="Arial" w:cs="Arial"/>
          <w:b/>
          <w:bCs/>
          <w:color w:val="000000"/>
          <w:sz w:val="20"/>
          <w:szCs w:val="20"/>
        </w:rPr>
        <w:lastRenderedPageBreak/>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85415B" w:rsidRDefault="0085415B" w:rsidP="0085415B">
      <w:pPr>
        <w:pStyle w:val="NormalWeb"/>
        <w:jc w:val="both"/>
        <w:rPr>
          <w:rFonts w:ascii="Arial" w:hAnsi="Arial" w:cs="Arial"/>
          <w:color w:val="000000"/>
          <w:sz w:val="20"/>
          <w:szCs w:val="20"/>
        </w:rPr>
      </w:pPr>
      <w:r>
        <w:rPr>
          <w:rFonts w:ascii="Arial" w:hAnsi="Arial" w:cs="Arial"/>
          <w:color w:val="000000"/>
          <w:sz w:val="20"/>
          <w:szCs w:val="20"/>
        </w:rPr>
        <w:t>RBI/2022-23/139</w:t>
      </w:r>
      <w:r>
        <w:rPr>
          <w:rFonts w:ascii="Arial" w:hAnsi="Arial" w:cs="Arial"/>
          <w:color w:val="000000"/>
          <w:sz w:val="20"/>
          <w:szCs w:val="20"/>
        </w:rPr>
        <w:br/>
        <w:t>FIDD.CO.FSD.BC.No.13/05.02.001/2022-23</w:t>
      </w:r>
    </w:p>
    <w:p w:rsidR="0085415B" w:rsidRDefault="0085415B" w:rsidP="0085415B">
      <w:pPr>
        <w:pStyle w:val="NormalWeb"/>
        <w:jc w:val="right"/>
        <w:rPr>
          <w:rFonts w:ascii="Arial" w:hAnsi="Arial" w:cs="Arial"/>
          <w:color w:val="000000"/>
          <w:sz w:val="20"/>
          <w:szCs w:val="20"/>
        </w:rPr>
      </w:pPr>
      <w:r>
        <w:rPr>
          <w:rFonts w:ascii="Arial" w:hAnsi="Arial" w:cs="Arial"/>
          <w:color w:val="000000"/>
          <w:sz w:val="20"/>
          <w:szCs w:val="20"/>
        </w:rPr>
        <w:t>November 23, 2022</w:t>
      </w:r>
    </w:p>
    <w:p w:rsidR="0085415B" w:rsidRDefault="0085415B" w:rsidP="0085415B">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Public Sector Banks, Private Sector Banks and</w:t>
      </w:r>
      <w:r>
        <w:rPr>
          <w:rFonts w:ascii="Arial" w:hAnsi="Arial" w:cs="Arial"/>
          <w:color w:val="000000"/>
          <w:sz w:val="20"/>
          <w:szCs w:val="20"/>
        </w:rPr>
        <w:br/>
        <w:t>Small Finance Banks</w:t>
      </w:r>
    </w:p>
    <w:p w:rsidR="0085415B" w:rsidRDefault="0085415B" w:rsidP="0085415B">
      <w:pPr>
        <w:pStyle w:val="NormalWeb"/>
        <w:jc w:val="both"/>
        <w:rPr>
          <w:rFonts w:ascii="Arial" w:hAnsi="Arial" w:cs="Arial"/>
          <w:color w:val="000000"/>
          <w:sz w:val="20"/>
          <w:szCs w:val="20"/>
        </w:rPr>
      </w:pPr>
      <w:r>
        <w:rPr>
          <w:rFonts w:ascii="Arial" w:hAnsi="Arial" w:cs="Arial"/>
          <w:color w:val="000000"/>
          <w:sz w:val="20"/>
          <w:szCs w:val="20"/>
        </w:rPr>
        <w:t>Madam/Dear Sir,</w:t>
      </w:r>
    </w:p>
    <w:p w:rsidR="0085415B" w:rsidRDefault="0085415B" w:rsidP="0085415B">
      <w:pPr>
        <w:pStyle w:val="head"/>
        <w:jc w:val="both"/>
        <w:rPr>
          <w:rFonts w:ascii="Arial" w:hAnsi="Arial" w:cs="Arial"/>
          <w:b/>
          <w:bCs/>
          <w:color w:val="000000"/>
          <w:sz w:val="20"/>
          <w:szCs w:val="20"/>
        </w:rPr>
      </w:pPr>
      <w:r>
        <w:rPr>
          <w:rFonts w:ascii="Arial" w:hAnsi="Arial" w:cs="Arial"/>
          <w:b/>
          <w:bCs/>
          <w:color w:val="000000"/>
          <w:sz w:val="20"/>
          <w:szCs w:val="20"/>
        </w:rPr>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85415B" w:rsidRDefault="0085415B" w:rsidP="0085415B">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9" w:tgtFrame="_blank" w:history="1">
        <w:r>
          <w:rPr>
            <w:rStyle w:val="Hyperlink"/>
            <w:rFonts w:ascii="Arial" w:hAnsi="Arial" w:cs="Arial"/>
            <w:sz w:val="20"/>
            <w:szCs w:val="20"/>
          </w:rPr>
          <w:t>circular FIDD.CO.FSD.BC.No.3/05.02.001/2022-23 dated April 28, 2022</w:t>
        </w:r>
      </w:hyperlink>
      <w:r>
        <w:rPr>
          <w:rFonts w:ascii="Arial" w:hAnsi="Arial" w:cs="Arial"/>
          <w:color w:val="000000"/>
          <w:sz w:val="20"/>
          <w:szCs w:val="20"/>
        </w:rPr>
        <w:t> conveying the decision of the Government of India for continuation of the Modified Interest Subvention Scheme for short term loans for agriculture and allied activities for the year 2021-22.</w:t>
      </w:r>
    </w:p>
    <w:p w:rsidR="0085415B" w:rsidRDefault="0085415B" w:rsidP="0085415B">
      <w:pPr>
        <w:pStyle w:val="NormalWeb"/>
        <w:jc w:val="both"/>
        <w:rPr>
          <w:rFonts w:ascii="Arial" w:hAnsi="Arial" w:cs="Arial"/>
          <w:color w:val="000000"/>
          <w:sz w:val="20"/>
          <w:szCs w:val="20"/>
        </w:rPr>
      </w:pPr>
      <w:r>
        <w:rPr>
          <w:rFonts w:ascii="Arial" w:hAnsi="Arial" w:cs="Arial"/>
          <w:color w:val="000000"/>
          <w:sz w:val="20"/>
          <w:szCs w:val="20"/>
        </w:rPr>
        <w:t>2. In this regard, it is advised that Government of India has approved the continuation of the Interest Subvention Scheme (ISS) with modification for the financial years 2022-23 and 2023-24 with the following stipulations:</w:t>
      </w:r>
    </w:p>
    <w:p w:rsidR="0085415B" w:rsidRDefault="0085415B" w:rsidP="0085415B">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xml:space="preserve">) In order to provide short term crop loans and short term loans for allied activities including animal husbandry, dairy, fisheries, bee keeping etc.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an overall limit of ₹3 lakh to farmers through KCC at concessional interest rate during the years 2022-23 and 2023-24, it has been decided to provide interest subvention to lending institutions viz. Public Sector Banks (PSBs) and Private Sector Banks (in respect of loans given by their rural and semi-urban branches only), Small Finance Banks (SFBs) and computerized Primary Agriculture Cooperative Societies (PACS) which have been ceded with Scheduled Commercial Banks (SCBs), on use of their own resources. This interest subvention will be calculated on the loan amount from the date of disbursement/</w:t>
      </w:r>
      <w:proofErr w:type="spellStart"/>
      <w:r>
        <w:rPr>
          <w:rFonts w:ascii="Arial" w:hAnsi="Arial" w:cs="Arial"/>
          <w:color w:val="000000"/>
          <w:sz w:val="20"/>
          <w:szCs w:val="20"/>
        </w:rPr>
        <w:t>drawal</w:t>
      </w:r>
      <w:proofErr w:type="spellEnd"/>
      <w:r>
        <w:rPr>
          <w:rFonts w:ascii="Arial" w:hAnsi="Arial" w:cs="Arial"/>
          <w:color w:val="000000"/>
          <w:sz w:val="20"/>
          <w:szCs w:val="20"/>
        </w:rPr>
        <w:t xml:space="preserve"> up to the date of actual repayment of the loan by the farmer or up to the due date of the loan fixed by the banks, whichever is earlier, subject to a maximum period of one year. The applicable lending rate to farmers and the rate of interest subvention for the financial years 2022-23 and 2023-24 will be as follows:</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2408"/>
        <w:gridCol w:w="4943"/>
      </w:tblGrid>
      <w:tr w:rsidR="0085415B" w:rsidTr="0085415B">
        <w:trPr>
          <w:trHeight w:val="418"/>
          <w:jc w:val="center"/>
        </w:trPr>
        <w:tc>
          <w:tcPr>
            <w:tcW w:w="873" w:type="pct"/>
            <w:tcMar>
              <w:top w:w="0" w:type="dxa"/>
              <w:left w:w="45" w:type="dxa"/>
              <w:bottom w:w="0" w:type="dxa"/>
              <w:right w:w="45" w:type="dxa"/>
            </w:tcMar>
            <w:vAlign w:val="center"/>
            <w:hideMark/>
          </w:tcPr>
          <w:p w:rsidR="0085415B" w:rsidRDefault="0085415B">
            <w:pPr>
              <w:jc w:val="center"/>
              <w:rPr>
                <w:rFonts w:ascii="Arial" w:hAnsi="Arial" w:cs="Arial"/>
                <w:b/>
                <w:bCs/>
                <w:color w:val="000000"/>
                <w:sz w:val="20"/>
                <w:szCs w:val="20"/>
              </w:rPr>
            </w:pPr>
            <w:r>
              <w:rPr>
                <w:rFonts w:ascii="Arial" w:hAnsi="Arial" w:cs="Arial"/>
                <w:b/>
                <w:bCs/>
                <w:color w:val="000000"/>
                <w:sz w:val="20"/>
                <w:szCs w:val="20"/>
              </w:rPr>
              <w:t>Financial Year</w:t>
            </w:r>
          </w:p>
        </w:tc>
        <w:tc>
          <w:tcPr>
            <w:tcW w:w="1352" w:type="pct"/>
            <w:tcMar>
              <w:top w:w="0" w:type="dxa"/>
              <w:left w:w="45" w:type="dxa"/>
              <w:bottom w:w="0" w:type="dxa"/>
              <w:right w:w="45" w:type="dxa"/>
            </w:tcMar>
            <w:vAlign w:val="center"/>
            <w:hideMark/>
          </w:tcPr>
          <w:p w:rsidR="0085415B" w:rsidRDefault="0085415B">
            <w:pPr>
              <w:jc w:val="center"/>
              <w:rPr>
                <w:rFonts w:ascii="Arial" w:hAnsi="Arial" w:cs="Arial"/>
                <w:b/>
                <w:bCs/>
                <w:color w:val="000000"/>
                <w:sz w:val="20"/>
                <w:szCs w:val="20"/>
              </w:rPr>
            </w:pPr>
            <w:r>
              <w:rPr>
                <w:rFonts w:ascii="Arial" w:hAnsi="Arial" w:cs="Arial"/>
                <w:b/>
                <w:bCs/>
                <w:color w:val="000000"/>
                <w:sz w:val="20"/>
                <w:szCs w:val="20"/>
              </w:rPr>
              <w:t>Lending rate to farmers</w:t>
            </w:r>
          </w:p>
        </w:tc>
        <w:tc>
          <w:tcPr>
            <w:tcW w:w="2775" w:type="pct"/>
            <w:tcMar>
              <w:top w:w="0" w:type="dxa"/>
              <w:left w:w="45" w:type="dxa"/>
              <w:bottom w:w="0" w:type="dxa"/>
              <w:right w:w="45" w:type="dxa"/>
            </w:tcMar>
            <w:vAlign w:val="center"/>
            <w:hideMark/>
          </w:tcPr>
          <w:p w:rsidR="0085415B" w:rsidRDefault="0085415B">
            <w:pPr>
              <w:jc w:val="center"/>
              <w:rPr>
                <w:rFonts w:ascii="Arial" w:hAnsi="Arial" w:cs="Arial"/>
                <w:b/>
                <w:bCs/>
                <w:color w:val="000000"/>
                <w:sz w:val="20"/>
                <w:szCs w:val="20"/>
              </w:rPr>
            </w:pPr>
            <w:r>
              <w:rPr>
                <w:rFonts w:ascii="Arial" w:hAnsi="Arial" w:cs="Arial"/>
                <w:b/>
                <w:bCs/>
                <w:color w:val="000000"/>
                <w:sz w:val="20"/>
                <w:szCs w:val="20"/>
              </w:rPr>
              <w:t>Rate of Interest Subvention to Lending Institutions</w:t>
            </w:r>
          </w:p>
        </w:tc>
      </w:tr>
      <w:tr w:rsidR="0085415B" w:rsidTr="0085415B">
        <w:trPr>
          <w:trHeight w:val="141"/>
          <w:jc w:val="center"/>
        </w:trPr>
        <w:tc>
          <w:tcPr>
            <w:tcW w:w="873" w:type="pct"/>
            <w:tcMar>
              <w:top w:w="0" w:type="dxa"/>
              <w:left w:w="45" w:type="dxa"/>
              <w:bottom w:w="0" w:type="dxa"/>
              <w:right w:w="45" w:type="dxa"/>
            </w:tcMar>
            <w:vAlign w:val="center"/>
            <w:hideMark/>
          </w:tcPr>
          <w:p w:rsidR="0085415B" w:rsidRDefault="0085415B">
            <w:pPr>
              <w:jc w:val="center"/>
              <w:rPr>
                <w:rFonts w:ascii="Arial" w:hAnsi="Arial" w:cs="Arial"/>
                <w:color w:val="000000"/>
                <w:sz w:val="20"/>
                <w:szCs w:val="20"/>
              </w:rPr>
            </w:pPr>
            <w:r>
              <w:rPr>
                <w:rFonts w:ascii="Arial" w:hAnsi="Arial" w:cs="Arial"/>
                <w:color w:val="000000"/>
                <w:sz w:val="20"/>
                <w:szCs w:val="20"/>
              </w:rPr>
              <w:t>2022-23</w:t>
            </w:r>
          </w:p>
        </w:tc>
        <w:tc>
          <w:tcPr>
            <w:tcW w:w="1352" w:type="pct"/>
            <w:tcMar>
              <w:top w:w="0" w:type="dxa"/>
              <w:left w:w="45" w:type="dxa"/>
              <w:bottom w:w="0" w:type="dxa"/>
              <w:right w:w="45" w:type="dxa"/>
            </w:tcMar>
            <w:vAlign w:val="center"/>
            <w:hideMark/>
          </w:tcPr>
          <w:p w:rsidR="0085415B" w:rsidRDefault="0085415B">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85415B" w:rsidRDefault="0085415B">
            <w:pPr>
              <w:jc w:val="center"/>
              <w:rPr>
                <w:rFonts w:ascii="Arial" w:hAnsi="Arial" w:cs="Arial"/>
                <w:color w:val="000000"/>
                <w:sz w:val="20"/>
                <w:szCs w:val="20"/>
              </w:rPr>
            </w:pPr>
            <w:r>
              <w:rPr>
                <w:rFonts w:ascii="Arial" w:hAnsi="Arial" w:cs="Arial"/>
                <w:color w:val="000000"/>
                <w:sz w:val="20"/>
                <w:szCs w:val="20"/>
              </w:rPr>
              <w:t>1.50%</w:t>
            </w:r>
          </w:p>
        </w:tc>
      </w:tr>
      <w:tr w:rsidR="0085415B" w:rsidTr="0085415B">
        <w:trPr>
          <w:trHeight w:val="202"/>
          <w:jc w:val="center"/>
        </w:trPr>
        <w:tc>
          <w:tcPr>
            <w:tcW w:w="873" w:type="pct"/>
            <w:tcMar>
              <w:top w:w="0" w:type="dxa"/>
              <w:left w:w="45" w:type="dxa"/>
              <w:bottom w:w="0" w:type="dxa"/>
              <w:right w:w="45" w:type="dxa"/>
            </w:tcMar>
            <w:vAlign w:val="center"/>
            <w:hideMark/>
          </w:tcPr>
          <w:p w:rsidR="0085415B" w:rsidRDefault="0085415B">
            <w:pPr>
              <w:jc w:val="center"/>
              <w:rPr>
                <w:rFonts w:ascii="Arial" w:hAnsi="Arial" w:cs="Arial"/>
                <w:color w:val="000000"/>
                <w:sz w:val="20"/>
                <w:szCs w:val="20"/>
              </w:rPr>
            </w:pPr>
            <w:r>
              <w:rPr>
                <w:rFonts w:ascii="Arial" w:hAnsi="Arial" w:cs="Arial"/>
                <w:color w:val="000000"/>
                <w:sz w:val="20"/>
                <w:szCs w:val="20"/>
              </w:rPr>
              <w:t>2023-24</w:t>
            </w:r>
          </w:p>
        </w:tc>
        <w:tc>
          <w:tcPr>
            <w:tcW w:w="1352" w:type="pct"/>
            <w:tcMar>
              <w:top w:w="0" w:type="dxa"/>
              <w:left w:w="45" w:type="dxa"/>
              <w:bottom w:w="0" w:type="dxa"/>
              <w:right w:w="45" w:type="dxa"/>
            </w:tcMar>
            <w:vAlign w:val="center"/>
            <w:hideMark/>
          </w:tcPr>
          <w:p w:rsidR="0085415B" w:rsidRDefault="0085415B">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85415B" w:rsidRDefault="0085415B">
            <w:pPr>
              <w:jc w:val="center"/>
              <w:rPr>
                <w:rFonts w:ascii="Arial" w:hAnsi="Arial" w:cs="Arial"/>
                <w:color w:val="000000"/>
                <w:sz w:val="20"/>
                <w:szCs w:val="20"/>
              </w:rPr>
            </w:pPr>
            <w:r>
              <w:rPr>
                <w:rFonts w:ascii="Arial" w:hAnsi="Arial" w:cs="Arial"/>
                <w:color w:val="000000"/>
                <w:sz w:val="20"/>
                <w:szCs w:val="20"/>
              </w:rPr>
              <w:t>1.50%</w:t>
            </w:r>
          </w:p>
        </w:tc>
      </w:tr>
    </w:tbl>
    <w:p w:rsidR="0085415B" w:rsidRDefault="0085415B" w:rsidP="00B46998">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85415B" w:rsidRDefault="0085415B" w:rsidP="0085415B">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85415B" w:rsidRDefault="0085415B" w:rsidP="0085415B">
      <w:pPr>
        <w:pStyle w:val="NormalWeb"/>
        <w:rPr>
          <w:rFonts w:ascii="Arial" w:hAnsi="Arial" w:cs="Arial"/>
          <w:b/>
          <w:color w:val="000000"/>
          <w:sz w:val="20"/>
          <w:szCs w:val="20"/>
        </w:rPr>
      </w:pPr>
    </w:p>
    <w:p w:rsidR="00B46998" w:rsidRDefault="00B46998" w:rsidP="0085415B">
      <w:pPr>
        <w:pStyle w:val="NormalWeb"/>
        <w:rPr>
          <w:rFonts w:ascii="Arial" w:hAnsi="Arial" w:cs="Arial"/>
          <w:b/>
          <w:color w:val="000000"/>
          <w:sz w:val="20"/>
          <w:szCs w:val="20"/>
        </w:rPr>
      </w:pPr>
    </w:p>
    <w:p w:rsidR="00B46998" w:rsidRDefault="00B46998" w:rsidP="00B46998">
      <w:r>
        <w:t>More details can be referred to in the below link.</w:t>
      </w:r>
    </w:p>
    <w:p w:rsidR="00B46998" w:rsidRDefault="00B46998" w:rsidP="00B4699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0" w:history="1">
        <w:r w:rsidRPr="006865D6">
          <w:rPr>
            <w:rStyle w:val="Hyperlink"/>
            <w:rFonts w:ascii="Arial" w:hAnsi="Arial" w:cs="Arial"/>
            <w:bCs/>
            <w:sz w:val="20"/>
            <w:szCs w:val="20"/>
          </w:rPr>
          <w:t>https://www.rbi.org.in/scripts/NotificationUser.aspx?Id=12411&amp;Mode=0</w:t>
        </w:r>
      </w:hyperlink>
    </w:p>
    <w:sectPr w:rsidR="00B469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6"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5"/>
  </w:num>
  <w:num w:numId="7">
    <w:abstractNumId w:val="20"/>
  </w:num>
  <w:num w:numId="8">
    <w:abstractNumId w:val="1"/>
  </w:num>
  <w:num w:numId="9">
    <w:abstractNumId w:val="0"/>
  </w:num>
  <w:num w:numId="10">
    <w:abstractNumId w:val="14"/>
  </w:num>
  <w:num w:numId="11">
    <w:abstractNumId w:val="12"/>
  </w:num>
  <w:num w:numId="12">
    <w:abstractNumId w:val="2"/>
  </w:num>
  <w:num w:numId="13">
    <w:abstractNumId w:val="11"/>
  </w:num>
  <w:num w:numId="14">
    <w:abstractNumId w:val="19"/>
  </w:num>
  <w:num w:numId="15">
    <w:abstractNumId w:val="27"/>
  </w:num>
  <w:num w:numId="16">
    <w:abstractNumId w:val="3"/>
  </w:num>
  <w:num w:numId="17">
    <w:abstractNumId w:val="16"/>
  </w:num>
  <w:num w:numId="18">
    <w:abstractNumId w:val="10"/>
  </w:num>
  <w:num w:numId="19">
    <w:abstractNumId w:val="9"/>
  </w:num>
  <w:num w:numId="20">
    <w:abstractNumId w:val="15"/>
  </w:num>
  <w:num w:numId="21">
    <w:abstractNumId w:val="8"/>
  </w:num>
  <w:num w:numId="22">
    <w:abstractNumId w:val="24"/>
  </w:num>
  <w:num w:numId="23">
    <w:abstractNumId w:val="6"/>
  </w:num>
  <w:num w:numId="24">
    <w:abstractNumId w:val="13"/>
  </w:num>
  <w:num w:numId="25">
    <w:abstractNumId w:val="5"/>
  </w:num>
  <w:num w:numId="26">
    <w:abstractNumId w:val="21"/>
  </w:num>
  <w:num w:numId="27">
    <w:abstractNumId w:val="4"/>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F6CB6"/>
    <w:rsid w:val="00121B22"/>
    <w:rsid w:val="00147837"/>
    <w:rsid w:val="00166E3C"/>
    <w:rsid w:val="001B0D06"/>
    <w:rsid w:val="001E7AD4"/>
    <w:rsid w:val="001F219E"/>
    <w:rsid w:val="002313C4"/>
    <w:rsid w:val="00245B30"/>
    <w:rsid w:val="002A3764"/>
    <w:rsid w:val="002C55B6"/>
    <w:rsid w:val="00435B25"/>
    <w:rsid w:val="00436D36"/>
    <w:rsid w:val="0045114B"/>
    <w:rsid w:val="004D6B44"/>
    <w:rsid w:val="004E718A"/>
    <w:rsid w:val="00581BDE"/>
    <w:rsid w:val="00583041"/>
    <w:rsid w:val="005A38FC"/>
    <w:rsid w:val="005D5DB2"/>
    <w:rsid w:val="00645D84"/>
    <w:rsid w:val="0068363E"/>
    <w:rsid w:val="006C5648"/>
    <w:rsid w:val="00706A14"/>
    <w:rsid w:val="00744532"/>
    <w:rsid w:val="008462A3"/>
    <w:rsid w:val="0085415B"/>
    <w:rsid w:val="00912551"/>
    <w:rsid w:val="009126BF"/>
    <w:rsid w:val="009B54D0"/>
    <w:rsid w:val="009F305B"/>
    <w:rsid w:val="00A32EAB"/>
    <w:rsid w:val="00A410BB"/>
    <w:rsid w:val="00A76041"/>
    <w:rsid w:val="00B1420D"/>
    <w:rsid w:val="00B46998"/>
    <w:rsid w:val="00B71788"/>
    <w:rsid w:val="00BF2165"/>
    <w:rsid w:val="00C754F7"/>
    <w:rsid w:val="00C8671B"/>
    <w:rsid w:val="00C918BE"/>
    <w:rsid w:val="00C93B49"/>
    <w:rsid w:val="00CE14AF"/>
    <w:rsid w:val="00CF0868"/>
    <w:rsid w:val="00CF340B"/>
    <w:rsid w:val="00DB76CD"/>
    <w:rsid w:val="00DE227F"/>
    <w:rsid w:val="00DE6119"/>
    <w:rsid w:val="00E0459A"/>
    <w:rsid w:val="00EC5CE1"/>
    <w:rsid w:val="00EC7DEE"/>
    <w:rsid w:val="00ED4725"/>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1DDF"/>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624390911">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4545127">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FS_Notification.aspx?Id=12407&amp;fn=2&amp;Mode=0" TargetMode="External"/><Relationship Id="rId3" Type="http://schemas.openxmlformats.org/officeDocument/2006/relationships/styles" Target="styles.xml"/><Relationship Id="rId7" Type="http://schemas.openxmlformats.org/officeDocument/2006/relationships/hyperlink" Target="https://www.rbi.org.in/scripts/FS_Notification.aspx?Id=12407&amp;fn=2&amp;Mode=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bi.org.in/Scripts/NotificationUser.aspx?Id=10128&amp;Mode=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bi.org.in/scripts/NotificationUser.aspx?Id=12411&amp;Mode=0" TargetMode="External"/><Relationship Id="rId4" Type="http://schemas.openxmlformats.org/officeDocument/2006/relationships/settings" Target="settings.xml"/><Relationship Id="rId9" Type="http://schemas.openxmlformats.org/officeDocument/2006/relationships/hyperlink" Target="https://www.rbi.org.in/Scripts/NotificationUser.aspx?Id=12302&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E0A7A-C85D-41F3-9211-9AAF349F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54</cp:revision>
  <dcterms:created xsi:type="dcterms:W3CDTF">2023-02-27T06:47:00Z</dcterms:created>
  <dcterms:modified xsi:type="dcterms:W3CDTF">2023-02-28T06:51:00Z</dcterms:modified>
</cp:coreProperties>
</file>